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44A44">
        <w:rPr>
          <w:b/>
          <w:sz w:val="26"/>
          <w:szCs w:val="26"/>
        </w:rPr>
        <w:t>23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44A44" w:rsidRPr="00944A44">
        <w:rPr>
          <w:b/>
          <w:sz w:val="26"/>
          <w:szCs w:val="26"/>
        </w:rPr>
        <w:t>января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944A44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44A44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305ECB" w:rsidRPr="00305ECB">
              <w:t>запчастей для регулирующих, отсечных клапанов для технологических объектов ПАО «Славнефть-ЯНОС» (519-СС-2024)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305ECB" w:rsidRPr="00305ECB">
              <w:t>запчастей для регулирующих, отсечных клапанов для технологических объектов ПАО «Славнефть-ЯНОС» (519-СС-2024)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96FC5" w:rsidRDefault="00C007EA" w:rsidP="00305ECB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</w:t>
            </w:r>
            <w:r w:rsidR="00305ECB">
              <w:t xml:space="preserve">поставку </w:t>
            </w:r>
            <w:r w:rsidR="00305ECB" w:rsidRPr="00305ECB">
              <w:t>запчастей для регулирующих, отсечных клапанов для технологических объектов ПАО «Славнефть-ЯНОС» (519-СС-2024)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596FC5">
              <w:t xml:space="preserve">       </w:t>
            </w:r>
          </w:p>
          <w:p w:rsidR="00305ECB" w:rsidRPr="00305ECB" w:rsidRDefault="00305ECB" w:rsidP="00305ECB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305ECB">
              <w:t xml:space="preserve">лот № 1: </w:t>
            </w:r>
            <w:r w:rsidRPr="00305ECB">
              <w:rPr>
                <w:color w:val="000000"/>
              </w:rPr>
              <w:t>ООО «Севзапкомплектавтоматика</w:t>
            </w:r>
            <w:r w:rsidRPr="00305ECB">
              <w:t xml:space="preserve">», </w:t>
            </w:r>
          </w:p>
          <w:p w:rsidR="00305ECB" w:rsidRPr="00305ECB" w:rsidRDefault="00305ECB" w:rsidP="00305ECB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305ECB">
              <w:t xml:space="preserve">лот № 3 поз. 1: ООО «ЗИМ Промпривод», </w:t>
            </w:r>
          </w:p>
          <w:p w:rsidR="00305ECB" w:rsidRPr="00305ECB" w:rsidRDefault="00305ECB" w:rsidP="00305ECB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305ECB">
              <w:t xml:space="preserve">лот № 3 поз. 2, 3, 4: ООО «НефтеГазСнаб», </w:t>
            </w:r>
          </w:p>
          <w:p w:rsidR="0027590D" w:rsidRPr="00596FC5" w:rsidRDefault="00305ECB" w:rsidP="00305ECB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305ECB">
              <w:t>лот № 3 поз. 5: АО «ВСП Рус</w:t>
            </w:r>
            <w:r>
              <w:t>»</w:t>
            </w:r>
          </w:p>
          <w:p w:rsidR="00596FC5" w:rsidRPr="00620C62" w:rsidRDefault="00596FC5" w:rsidP="00596FC5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596FC5">
              <w:t>лот № 2 признать несостоявшимся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05ECB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96FC5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44A44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B00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2024-06-11T07:04:00Z</cp:lastPrinted>
  <dcterms:created xsi:type="dcterms:W3CDTF">2014-10-02T08:02:00Z</dcterms:created>
  <dcterms:modified xsi:type="dcterms:W3CDTF">2025-01-28T06:00:00Z</dcterms:modified>
</cp:coreProperties>
</file>